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3D" w:rsidRDefault="00CB023D" w:rsidP="00CB023D">
      <w:pPr>
        <w:jc w:val="center"/>
        <w:rPr>
          <w:rFonts w:ascii="Verdana" w:hAnsi="Verdana"/>
          <w:b/>
          <w:bCs/>
          <w:snapToGrid w:val="0"/>
          <w:sz w:val="20"/>
          <w:szCs w:val="20"/>
          <w:u w:val="single"/>
        </w:rPr>
      </w:pPr>
      <w:r>
        <w:rPr>
          <w:rFonts w:ascii="Verdana" w:hAnsi="Verdana"/>
          <w:b/>
          <w:bCs/>
          <w:snapToGrid w:val="0"/>
          <w:sz w:val="20"/>
          <w:szCs w:val="20"/>
          <w:u w:val="single"/>
        </w:rPr>
        <w:t xml:space="preserve">All. C </w:t>
      </w:r>
    </w:p>
    <w:p w:rsidR="00CB023D" w:rsidRDefault="00CB023D" w:rsidP="00CB023D">
      <w:pPr>
        <w:jc w:val="center"/>
        <w:rPr>
          <w:rFonts w:ascii="Verdana" w:hAnsi="Verdana"/>
          <w:b/>
          <w:bCs/>
          <w:snapToGrid w:val="0"/>
          <w:sz w:val="20"/>
          <w:szCs w:val="20"/>
          <w:u w:val="single"/>
        </w:rPr>
      </w:pPr>
    </w:p>
    <w:p w:rsidR="00CB023D" w:rsidRDefault="00CB023D" w:rsidP="00CB023D">
      <w:pPr>
        <w:widowControl w:val="0"/>
        <w:pBdr>
          <w:top w:val="single" w:sz="4" w:space="1" w:color="auto"/>
          <w:left w:val="single" w:sz="4" w:space="1" w:color="auto"/>
          <w:right w:val="single" w:sz="4" w:space="4" w:color="auto"/>
        </w:pBdr>
        <w:ind w:right="141"/>
        <w:jc w:val="center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INFORMATIVA SUL TRATTAMENTO DEI DATI PERSONALI (FORNITORI)</w:t>
      </w:r>
    </w:p>
    <w:p w:rsidR="00CB023D" w:rsidRDefault="00CB023D" w:rsidP="00CB023D">
      <w:pPr>
        <w:widowControl w:val="0"/>
        <w:pBdr>
          <w:left w:val="single" w:sz="4" w:space="1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ai sensi degli artt. 13 e 14 del Regolamento Europeo 2016/679 (GDPR)</w:t>
      </w:r>
    </w:p>
    <w:p w:rsidR="00CB023D" w:rsidRDefault="00CB023D" w:rsidP="00CB023D">
      <w:pPr>
        <w:widowControl w:val="0"/>
        <w:tabs>
          <w:tab w:val="left" w:pos="567"/>
        </w:tabs>
        <w:ind w:left="360"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  <w:tab w:val="left" w:pos="4050"/>
        </w:tabs>
        <w:ind w:right="-1" w:firstLine="567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Premessa</w:t>
      </w:r>
      <w:r>
        <w:rPr>
          <w:rFonts w:ascii="Verdana" w:hAnsi="Verdana" w:cs="Calibri"/>
          <w:b/>
          <w:sz w:val="18"/>
          <w:szCs w:val="18"/>
        </w:rPr>
        <w:tab/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</w:t>
      </w:r>
      <w:r>
        <w:rPr>
          <w:rFonts w:ascii="Verdana" w:hAnsi="Verdana" w:cs="Calibri"/>
          <w:b/>
          <w:sz w:val="18"/>
          <w:szCs w:val="18"/>
        </w:rPr>
        <w:t>Regolamento Europeo 2016/679</w:t>
      </w:r>
      <w:r>
        <w:rPr>
          <w:rFonts w:ascii="Verdana" w:hAnsi="Verdana" w:cs="Calibri"/>
          <w:sz w:val="18"/>
          <w:szCs w:val="18"/>
        </w:rPr>
        <w:t xml:space="preserve"> (</w:t>
      </w:r>
      <w:proofErr w:type="spellStart"/>
      <w:r>
        <w:rPr>
          <w:rFonts w:ascii="Verdana" w:hAnsi="Verdana" w:cs="Calibri"/>
          <w:b/>
          <w:i/>
          <w:sz w:val="18"/>
          <w:szCs w:val="18"/>
        </w:rPr>
        <w:t>G</w:t>
      </w:r>
      <w:r>
        <w:rPr>
          <w:rFonts w:ascii="Verdana" w:hAnsi="Verdana" w:cs="Calibri"/>
          <w:i/>
          <w:sz w:val="18"/>
          <w:szCs w:val="18"/>
        </w:rPr>
        <w:t>eneral</w:t>
      </w:r>
      <w:proofErr w:type="spellEnd"/>
      <w:r>
        <w:rPr>
          <w:rFonts w:ascii="Verdana" w:hAnsi="Verdana" w:cs="Calibri"/>
          <w:i/>
          <w:sz w:val="18"/>
          <w:szCs w:val="18"/>
        </w:rPr>
        <w:t xml:space="preserve"> </w:t>
      </w:r>
      <w:r>
        <w:rPr>
          <w:rFonts w:ascii="Verdana" w:hAnsi="Verdana" w:cs="Calibri"/>
          <w:b/>
          <w:i/>
          <w:sz w:val="18"/>
          <w:szCs w:val="18"/>
        </w:rPr>
        <w:t>D</w:t>
      </w:r>
      <w:r>
        <w:rPr>
          <w:rFonts w:ascii="Verdana" w:hAnsi="Verdana" w:cs="Calibri"/>
          <w:i/>
          <w:sz w:val="18"/>
          <w:szCs w:val="18"/>
        </w:rPr>
        <w:t xml:space="preserve">ata </w:t>
      </w:r>
      <w:proofErr w:type="spellStart"/>
      <w:r>
        <w:rPr>
          <w:rFonts w:ascii="Verdana" w:hAnsi="Verdana" w:cs="Calibri"/>
          <w:b/>
          <w:i/>
          <w:sz w:val="18"/>
          <w:szCs w:val="18"/>
        </w:rPr>
        <w:t>P</w:t>
      </w:r>
      <w:r>
        <w:rPr>
          <w:rFonts w:ascii="Verdana" w:hAnsi="Verdana" w:cs="Calibri"/>
          <w:i/>
          <w:sz w:val="18"/>
          <w:szCs w:val="18"/>
        </w:rPr>
        <w:t>rotection</w:t>
      </w:r>
      <w:proofErr w:type="spellEnd"/>
      <w:r>
        <w:rPr>
          <w:rFonts w:ascii="Verdana" w:hAnsi="Verdana" w:cs="Calibri"/>
          <w:i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b/>
          <w:i/>
          <w:sz w:val="18"/>
          <w:szCs w:val="18"/>
        </w:rPr>
        <w:t>R</w:t>
      </w:r>
      <w:r>
        <w:rPr>
          <w:rFonts w:ascii="Verdana" w:hAnsi="Verdana" w:cs="Calibri"/>
          <w:i/>
          <w:sz w:val="18"/>
          <w:szCs w:val="18"/>
        </w:rPr>
        <w:t>egulation</w:t>
      </w:r>
      <w:proofErr w:type="spellEnd"/>
      <w:r>
        <w:rPr>
          <w:rFonts w:ascii="Verdana" w:hAnsi="Verdana" w:cs="Calibri"/>
          <w:sz w:val="18"/>
          <w:szCs w:val="18"/>
        </w:rPr>
        <w:t>) stabilisce norme relative alla protezione delle persone fisiche con riguardo al trattamento dei dati personali.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 osservanza dei principi di </w:t>
      </w:r>
      <w:r>
        <w:rPr>
          <w:rFonts w:ascii="Verdana" w:hAnsi="Verdana" w:cs="Calibri"/>
          <w:b/>
          <w:sz w:val="18"/>
          <w:szCs w:val="18"/>
        </w:rPr>
        <w:t>liceità, correttezza e trasparenza</w:t>
      </w:r>
      <w:r>
        <w:rPr>
          <w:rFonts w:ascii="Verdana" w:hAnsi="Verdana" w:cs="Calibri"/>
          <w:sz w:val="18"/>
          <w:szCs w:val="18"/>
        </w:rPr>
        <w:t xml:space="preserve"> indicati</w:t>
      </w:r>
      <w:r>
        <w:rPr>
          <w:rFonts w:ascii="Verdana" w:hAnsi="Verdana" w:cs="Calibri"/>
          <w:b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dall’art. 5 del medesimo GDPR, questa istituzione scolastica fornisce le seguenti informazioni richieste dagli artt. 13 e 14 qualora i dati personali siano raccolti, rispettivamente, presso l’Interessato e presso terzi.</w:t>
      </w:r>
    </w:p>
    <w:p w:rsidR="00CB023D" w:rsidRDefault="00CB023D" w:rsidP="00CB023D">
      <w:pPr>
        <w:widowControl w:val="0"/>
        <w:tabs>
          <w:tab w:val="left" w:pos="567"/>
        </w:tabs>
        <w:ind w:left="360"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numPr>
          <w:ilvl w:val="0"/>
          <w:numId w:val="12"/>
        </w:numPr>
        <w:tabs>
          <w:tab w:val="left" w:pos="567"/>
        </w:tabs>
        <w:ind w:right="-1" w:hanging="72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Titolare del trattamento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  <w:r>
        <w:rPr>
          <w:rFonts w:ascii="Verdana" w:hAnsi="Verdana" w:cs="Calibri"/>
          <w:b/>
          <w:sz w:val="10"/>
          <w:szCs w:val="10"/>
        </w:rPr>
        <w:t xml:space="preserve"> </w:t>
      </w:r>
    </w:p>
    <w:p w:rsidR="00CB023D" w:rsidRDefault="00CB023D" w:rsidP="00CB023D">
      <w:pPr>
        <w:widowControl w:val="0"/>
        <w:tabs>
          <w:tab w:val="left" w:pos="0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Titolare del trattamento dei dati personali è l’</w:t>
      </w:r>
      <w:proofErr w:type="spellStart"/>
      <w:r>
        <w:rPr>
          <w:rFonts w:ascii="Verdana" w:hAnsi="Verdana" w:cs="Calibri"/>
          <w:sz w:val="18"/>
          <w:szCs w:val="18"/>
        </w:rPr>
        <w:t>I.T.E.T.</w:t>
      </w:r>
      <w:proofErr w:type="spellEnd"/>
      <w:r>
        <w:rPr>
          <w:rFonts w:ascii="Verdana" w:hAnsi="Verdana" w:cs="Calibri"/>
          <w:sz w:val="18"/>
          <w:szCs w:val="18"/>
        </w:rPr>
        <w:t xml:space="preserve"> “BLAISE PASCAL” in persona del suo legale rappresentante il Dirigente Scolastico pro tempore prof.ssa </w:t>
      </w:r>
      <w:proofErr w:type="spellStart"/>
      <w:r>
        <w:rPr>
          <w:rFonts w:ascii="Verdana" w:hAnsi="Verdana" w:cs="Calibri"/>
          <w:sz w:val="18"/>
          <w:szCs w:val="18"/>
        </w:rPr>
        <w:t>Giuliarosa</w:t>
      </w:r>
      <w:proofErr w:type="spellEnd"/>
      <w:r>
        <w:rPr>
          <w:rFonts w:ascii="Verdana" w:hAnsi="Verdana" w:cs="Calibri"/>
          <w:sz w:val="18"/>
          <w:szCs w:val="18"/>
        </w:rPr>
        <w:t xml:space="preserve"> </w:t>
      </w:r>
      <w:proofErr w:type="spellStart"/>
      <w:r>
        <w:rPr>
          <w:rFonts w:ascii="Verdana" w:hAnsi="Verdana" w:cs="Calibri"/>
          <w:sz w:val="18"/>
          <w:szCs w:val="18"/>
        </w:rPr>
        <w:t>Trimboli</w:t>
      </w:r>
      <w:proofErr w:type="spellEnd"/>
      <w:r>
        <w:rPr>
          <w:rFonts w:ascii="Verdana" w:hAnsi="Verdana" w:cs="Calibri"/>
          <w:sz w:val="18"/>
          <w:szCs w:val="18"/>
        </w:rPr>
        <w:t xml:space="preserve">, con sede in Foggia alla Via Napoli n. 24, tel. 0881/711773, e-mail: </w:t>
      </w:r>
      <w:hyperlink r:id="rId8" w:history="1">
        <w:r>
          <w:rPr>
            <w:rStyle w:val="Collegamentoipertestuale"/>
            <w:rFonts w:ascii="Verdana" w:hAnsi="Verdana" w:cs="Calibri"/>
            <w:sz w:val="18"/>
            <w:szCs w:val="18"/>
          </w:rPr>
          <w:t>fgtd08000a@istruzione.it</w:t>
        </w:r>
      </w:hyperlink>
      <w:r>
        <w:rPr>
          <w:rFonts w:ascii="Verdana" w:hAnsi="Verdana" w:cs="Calibri"/>
          <w:sz w:val="18"/>
          <w:szCs w:val="18"/>
        </w:rPr>
        <w:t xml:space="preserve">, pec: </w:t>
      </w:r>
      <w:hyperlink r:id="rId9" w:history="1">
        <w:r>
          <w:rPr>
            <w:rStyle w:val="Collegamentoipertestuale"/>
            <w:rFonts w:ascii="Verdana" w:hAnsi="Verdana" w:cs="Calibri"/>
            <w:sz w:val="18"/>
            <w:szCs w:val="18"/>
          </w:rPr>
          <w:t>fgtd08000a@pec.istruzione.it</w:t>
        </w:r>
      </w:hyperlink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2)</w:t>
      </w:r>
      <w:r>
        <w:rPr>
          <w:rFonts w:ascii="Verdana" w:hAnsi="Verdana" w:cs="Calibri"/>
          <w:b/>
          <w:sz w:val="18"/>
          <w:szCs w:val="18"/>
        </w:rPr>
        <w:tab/>
        <w:t>Responsabile della Protezione dei dati personali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pStyle w:val="Default"/>
        <w:rPr>
          <w:rFonts w:eastAsiaTheme="minorHAnsi"/>
          <w:sz w:val="22"/>
          <w:szCs w:val="22"/>
          <w:lang w:eastAsia="en-US"/>
        </w:rPr>
      </w:pPr>
      <w:r>
        <w:rPr>
          <w:rFonts w:ascii="Verdana" w:hAnsi="Verdana"/>
          <w:sz w:val="18"/>
          <w:szCs w:val="18"/>
        </w:rPr>
        <w:t xml:space="preserve">Il Responsabile della Protezione dei dati personali è </w:t>
      </w:r>
      <w:r>
        <w:rPr>
          <w:rFonts w:eastAsiaTheme="minorHAnsi"/>
          <w:sz w:val="22"/>
          <w:szCs w:val="22"/>
          <w:lang w:eastAsia="en-US"/>
        </w:rPr>
        <w:t xml:space="preserve">Geom. Lucio Lombardi (LMBLCU63T27D643C), nella qualità di titolare di </w:t>
      </w:r>
      <w:r>
        <w:rPr>
          <w:rFonts w:eastAsiaTheme="minorHAnsi"/>
          <w:b/>
          <w:bCs/>
          <w:color w:val="000080"/>
          <w:sz w:val="22"/>
          <w:szCs w:val="22"/>
          <w:lang w:eastAsia="en-US"/>
        </w:rPr>
        <w:t xml:space="preserve">Studio Lucio Lombardi – </w:t>
      </w:r>
      <w:r>
        <w:rPr>
          <w:rFonts w:eastAsiaTheme="minorHAnsi"/>
          <w:sz w:val="22"/>
          <w:szCs w:val="22"/>
          <w:lang w:eastAsia="en-US"/>
        </w:rPr>
        <w:t xml:space="preserve">Privacy &amp; Sicurezza Lavoro </w:t>
      </w:r>
      <w:r>
        <w:rPr>
          <w:rFonts w:eastAsiaTheme="minorHAnsi"/>
          <w:b/>
          <w:bCs/>
          <w:color w:val="000080"/>
          <w:sz w:val="22"/>
          <w:szCs w:val="22"/>
          <w:lang w:eastAsia="en-US"/>
        </w:rPr>
        <w:t xml:space="preserve">– </w:t>
      </w:r>
      <w:r>
        <w:rPr>
          <w:rFonts w:eastAsiaTheme="minorHAnsi"/>
          <w:sz w:val="22"/>
          <w:szCs w:val="22"/>
          <w:lang w:eastAsia="en-US"/>
        </w:rPr>
        <w:t xml:space="preserve">Via San Domenico Savio, 9 – San Giovanni Rotondo (FG) – </w:t>
      </w:r>
      <w:proofErr w:type="spellStart"/>
      <w:r>
        <w:rPr>
          <w:rFonts w:eastAsiaTheme="minorHAnsi"/>
          <w:sz w:val="22"/>
          <w:szCs w:val="22"/>
          <w:lang w:eastAsia="en-US"/>
        </w:rPr>
        <w:t>P.Iva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03322920715.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3)</w:t>
      </w:r>
      <w:r>
        <w:rPr>
          <w:rFonts w:ascii="Verdana" w:hAnsi="Verdana" w:cs="Calibri"/>
          <w:b/>
          <w:sz w:val="18"/>
          <w:szCs w:val="18"/>
        </w:rPr>
        <w:tab/>
        <w:t>Finalità e base giuridica del trattamento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 dati personali forniti vengono trattati unicamente per lo svolgimento: di adempimenti precontrattuali; dell’attività negoziale; delle procedure finalizzate alla </w:t>
      </w:r>
      <w:r>
        <w:rPr>
          <w:rFonts w:ascii="Verdana" w:hAnsi="Verdana" w:cs="Calibri"/>
          <w:b/>
          <w:sz w:val="18"/>
          <w:szCs w:val="18"/>
        </w:rPr>
        <w:t>conclusione di contratti di acquisto e di fornitura di beni e servizi</w:t>
      </w:r>
      <w:r>
        <w:rPr>
          <w:rFonts w:ascii="Verdana" w:hAnsi="Verdana" w:cs="Calibri"/>
          <w:sz w:val="18"/>
          <w:szCs w:val="18"/>
        </w:rPr>
        <w:t xml:space="preserve"> da parte di soggetti economici-persone fisiche, nonché alla assegnazione di incarichi ad esperti esterni per specifici progetti tramite bando di gara, concorso o affidamento diretto; della successiva gestione del rapporto contrattuale ed adempimento degli obblighi connessi.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 dati personali raccolti vengono pertanto trattati, a seconda dei casi, ad esempio per: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predisporre comunicazioni informative precontrattuali e istruttorie rispetto alla stipula del contratto; 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stipula, esecuzione, gestione ed estinzione del contratto;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elaborazione, liquidazione e corresponsione degli importi dovuti e relativa contabilizzazione;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analisi del mercato ed elaborazioni statistiche;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verifica del grado di soddisfazione dei rapporti;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adempimento di obblighi derivanti da leggi, contratti e regolamenti in materia fiscale, previdenziale, assicurativa, di igiene e sicurezza sul lavoro;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favorire forme diffuse di controllo sul perseguimento delle funzioni istituzionali e sull'utilizzo delle risorse pubbliche e promuovere la partecipazione al dibattito pubblico, secondo quanto stabilito dalla normativa in materia di trasparenza e, in particolare, dal decreto legislativo 14 marzo 2013, n. 33;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svolgere attività di controllo e ispettive, in particolare per gli accertamenti d’ufficio svolti secondo le disposizioni in materia di documentazione amministrativa contenute nel D.P.R. 445/2000;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assolvere l‘obbligo di pubblicazione previsto dalla normativa in materia di trasparenza;</w:t>
      </w:r>
    </w:p>
    <w:p w:rsidR="00CB023D" w:rsidRDefault="00CB023D" w:rsidP="00CB023D">
      <w:pPr>
        <w:widowControl w:val="0"/>
        <w:numPr>
          <w:ilvl w:val="0"/>
          <w:numId w:val="13"/>
        </w:numPr>
        <w:tabs>
          <w:tab w:val="left" w:pos="567"/>
        </w:tabs>
        <w:ind w:left="0" w:right="-1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effettuare gli adempimenti previsti dalle disposizioni in materia di tracciabilità dei flussi finanziari e dalla normativa che prevede obblighi in relazione ai contratti pubblici.    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trattamento dei dati personali forniti è </w:t>
      </w:r>
      <w:r>
        <w:rPr>
          <w:rFonts w:ascii="Verdana" w:hAnsi="Verdana" w:cs="Calibri"/>
          <w:b/>
          <w:sz w:val="18"/>
          <w:szCs w:val="18"/>
        </w:rPr>
        <w:t>necessario per l’esecuzione di un contratto</w:t>
      </w:r>
      <w:r>
        <w:rPr>
          <w:rFonts w:ascii="Verdana" w:hAnsi="Verdana" w:cs="Calibri"/>
          <w:sz w:val="18"/>
          <w:szCs w:val="18"/>
        </w:rPr>
        <w:t xml:space="preserve"> ovvero per adempiere ai connessi </w:t>
      </w:r>
      <w:r>
        <w:rPr>
          <w:rFonts w:ascii="Verdana" w:hAnsi="Verdana" w:cs="Calibri"/>
          <w:b/>
          <w:sz w:val="18"/>
          <w:szCs w:val="18"/>
        </w:rPr>
        <w:t>obblighi di legge</w:t>
      </w:r>
      <w:r>
        <w:rPr>
          <w:rFonts w:ascii="Verdana" w:hAnsi="Verdana" w:cs="Calibri"/>
          <w:sz w:val="18"/>
          <w:szCs w:val="18"/>
        </w:rPr>
        <w:t>: la condizione di liceità e la base giuridica del trattamento è costituita dall’art. 6, par. 1, lett. b) e c) e del GDPR.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Inoltre i dati personali potranno costituire oggetto di trattamento se necessario per l’esecuzione di un </w:t>
      </w:r>
      <w:r>
        <w:rPr>
          <w:rFonts w:ascii="Verdana" w:hAnsi="Verdana" w:cs="Calibri"/>
          <w:b/>
          <w:sz w:val="18"/>
          <w:szCs w:val="18"/>
        </w:rPr>
        <w:t>compito di interesse pubblico o connesso all’esercizio di pubblici poteri</w:t>
      </w:r>
      <w:r>
        <w:rPr>
          <w:rFonts w:ascii="Verdana" w:hAnsi="Verdana" w:cs="Calibri"/>
          <w:sz w:val="18"/>
          <w:szCs w:val="18"/>
        </w:rPr>
        <w:t xml:space="preserve"> di cui è investito il Titolare: la condizione di liceità e la base giuridica del trattamento è costituita in tal caso dall’art. 6, par. 1, lett. e), del GDPR.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lastRenderedPageBreak/>
        <w:t>4)</w:t>
      </w:r>
      <w:r>
        <w:rPr>
          <w:rFonts w:ascii="Verdana" w:hAnsi="Verdana" w:cs="Calibri"/>
          <w:b/>
          <w:sz w:val="18"/>
          <w:szCs w:val="18"/>
        </w:rPr>
        <w:tab/>
        <w:t>Categorie di dati personali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Titolare tratta dati personali di natura </w:t>
      </w:r>
      <w:r>
        <w:rPr>
          <w:rFonts w:ascii="Verdana" w:hAnsi="Verdana" w:cs="Calibri"/>
          <w:b/>
          <w:sz w:val="18"/>
          <w:szCs w:val="18"/>
        </w:rPr>
        <w:t xml:space="preserve">comune </w:t>
      </w:r>
      <w:r>
        <w:rPr>
          <w:rFonts w:ascii="Verdana" w:hAnsi="Verdana" w:cs="Calibri"/>
          <w:sz w:val="18"/>
          <w:szCs w:val="18"/>
        </w:rPr>
        <w:t xml:space="preserve">(inerenti l’identificazione della persona fisica che partecipa alle procedure sopra descritte, quali quelli anagrafici, commerciali, contabili, fiscali e finanziari relativi al rapporto negoziale, in applicazione dei vari istituti disciplinati dalla legge e dei regolamenti in materia di appalti pubblici ai fini della verifica del possesso da parte del fornitore dei requisiti di: carattere generale; idoneità professionale; capacità economica e finanziaria; capacità tecniche e professionali, atti a soddisfare le richieste della P.A., anche attraverso la verifica della insussistenza di obblighi di pagamento derivanti da cartelle esattoriali, della regolarità contributiva e della tracciabilità dei flussi finanziari, l’ottemperanza agli obblighi di cui all’art.17 della L. 68/1999 per le categorie protette).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 dati </w:t>
      </w:r>
      <w:r>
        <w:rPr>
          <w:rFonts w:ascii="Verdana" w:hAnsi="Verdana" w:cs="Calibri"/>
          <w:b/>
          <w:sz w:val="18"/>
          <w:szCs w:val="18"/>
        </w:rPr>
        <w:t xml:space="preserve">giudiziari </w:t>
      </w:r>
      <w:r>
        <w:rPr>
          <w:rFonts w:ascii="Verdana" w:hAnsi="Verdana" w:cs="Calibri"/>
          <w:sz w:val="18"/>
          <w:szCs w:val="18"/>
        </w:rPr>
        <w:t>sono trattati nell’ambito delle procedure negoziali al fine di verificare il possesso della capacità di negoziare con la P.A., ovvero l’assenza di condanne passate in giudicato o decreti penali di condanna irrevocabili o sentenze di applicazione della pena su richiesta, l’assenza di stati di fallimento, liquidazione coatta amministrativa, concordato preventivo o eventuali procedimenti in corso per la</w:t>
      </w:r>
      <w:r>
        <w:rPr>
          <w:bCs/>
        </w:rPr>
        <w:t xml:space="preserve"> </w:t>
      </w:r>
      <w:r>
        <w:rPr>
          <w:rFonts w:ascii="Verdana" w:hAnsi="Verdana" w:cs="Calibri"/>
          <w:sz w:val="18"/>
          <w:szCs w:val="18"/>
        </w:rPr>
        <w:t>dichiarazione di tali situazioni, l’assenza di sanzioni amministrative dipendenti da reato ex art. 39 del D.P.R. 313/2002.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8"/>
          <w:szCs w:val="18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5)</w:t>
      </w:r>
      <w:r>
        <w:rPr>
          <w:rFonts w:ascii="Verdana" w:hAnsi="Verdana" w:cs="Calibri"/>
          <w:b/>
          <w:sz w:val="18"/>
          <w:szCs w:val="18"/>
        </w:rPr>
        <w:tab/>
        <w:t>Obbligatorietà o facoltatività del conferimento dei dati personali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conferimento dei dati personali richiesti per le finalità di cui sopra al punto 3) costituisce un </w:t>
      </w:r>
      <w:r>
        <w:rPr>
          <w:rFonts w:ascii="Verdana" w:hAnsi="Verdana" w:cs="Calibri"/>
          <w:b/>
          <w:sz w:val="18"/>
          <w:szCs w:val="18"/>
        </w:rPr>
        <w:t>obbligo legale o contrattuale.</w:t>
      </w:r>
    </w:p>
    <w:p w:rsidR="00CB023D" w:rsidRDefault="00CB023D" w:rsidP="00CB023D">
      <w:pPr>
        <w:widowControl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mancato conferimento dei dati personali necessari impedisce la stipula del contratto.</w:t>
      </w:r>
    </w:p>
    <w:p w:rsidR="00CB023D" w:rsidRDefault="00CB023D" w:rsidP="00CB023D">
      <w:pPr>
        <w:widowControl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mancato conferimento degli ulteriori dati personali che il fornitore è obbligato a fornire in relazione all’adempimento della prestazione può comportare l’impossibilità di esecuzione del contratto, compresa l’erogazione del compenso pattuito.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6)</w:t>
      </w:r>
      <w:r>
        <w:rPr>
          <w:rFonts w:ascii="Verdana" w:hAnsi="Verdana" w:cs="Calibri"/>
          <w:b/>
          <w:sz w:val="18"/>
          <w:szCs w:val="18"/>
        </w:rPr>
        <w:tab/>
        <w:t>Categorie di destinatari dei dati personali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 dati personali raccolti possono essere comunicati dal Titolare – se necessario e nei limiti di quanto previsto dalle vigenti disposizioni di legge e di regolamento e degli obblighi conseguenti per il Titolare del trattamento – alle seguenti categorie di destinatari interni ed esterni:</w:t>
      </w:r>
    </w:p>
    <w:p w:rsidR="00CB023D" w:rsidRDefault="00CB023D" w:rsidP="00CB023D">
      <w:pPr>
        <w:widowControl w:val="0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personale dipendente interno </w:t>
      </w:r>
      <w:r>
        <w:rPr>
          <w:rFonts w:ascii="Verdana" w:hAnsi="Verdana" w:cs="Calibri"/>
          <w:sz w:val="18"/>
          <w:szCs w:val="18"/>
        </w:rPr>
        <w:t>autorizzato al trattamento;</w:t>
      </w:r>
    </w:p>
    <w:p w:rsidR="00CB023D" w:rsidRDefault="00CB023D" w:rsidP="00CB023D">
      <w:pPr>
        <w:widowControl w:val="0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pubbliche amministrazioni</w:t>
      </w:r>
      <w:r>
        <w:rPr>
          <w:rFonts w:ascii="Verdana" w:hAnsi="Verdana" w:cs="Calibri"/>
          <w:sz w:val="18"/>
          <w:szCs w:val="18"/>
        </w:rPr>
        <w:t xml:space="preserve"> (ad esempio ed a seconda dei casi: amministrazione centrale e periferica del </w:t>
      </w:r>
      <w:proofErr w:type="spellStart"/>
      <w:r>
        <w:rPr>
          <w:rFonts w:ascii="Verdana" w:hAnsi="Verdana" w:cs="Calibri"/>
          <w:sz w:val="18"/>
          <w:szCs w:val="18"/>
        </w:rPr>
        <w:t>Miur</w:t>
      </w:r>
      <w:proofErr w:type="spellEnd"/>
      <w:r>
        <w:rPr>
          <w:rFonts w:ascii="Verdana" w:hAnsi="Verdana" w:cs="Calibri"/>
          <w:sz w:val="18"/>
          <w:szCs w:val="18"/>
        </w:rPr>
        <w:t xml:space="preserve"> per rilevazioni e controlli sulla regolarità delle procedure negoziali; altre istituzioni scolastiche per procedure negoziali svolte in rete; Sistema degli acquisti in rete della P.A. - </w:t>
      </w:r>
      <w:proofErr w:type="spellStart"/>
      <w:r>
        <w:rPr>
          <w:rFonts w:ascii="Verdana" w:hAnsi="Verdana" w:cs="Calibri"/>
          <w:sz w:val="18"/>
          <w:szCs w:val="18"/>
        </w:rPr>
        <w:t>Consip</w:t>
      </w:r>
      <w:proofErr w:type="spellEnd"/>
      <w:r>
        <w:rPr>
          <w:rFonts w:ascii="Verdana" w:hAnsi="Verdana" w:cs="Calibri"/>
          <w:sz w:val="18"/>
          <w:szCs w:val="18"/>
        </w:rPr>
        <w:t xml:space="preserve"> MEPA, per lo svolgimento delle procedure di appalto; Sistema Informativo Monitoraggio Gare (SIMOG) dell’ANAC per la richiesta del CIG e la vigilanza di contrasto alla corruzione; Asl e organi preposti alla vigilanza, per la verifica del rispetto delle norme su igiene e sicurezza nella prestazione dei servizi; Collegio dei Revisori dei conti, per la verifica della regolarità amministrativo-contabile delle procedure negoziali; Casellario Giudiziale presso la Procura della Repubblica, per la verifica di assenza di condanne passate in giudicato o decreti penali di condanna irrevocabili o sentenze di applicazione della pena; Agenzia delle Entrate, per la verifica della regolarità fiscale; Camera di Commercio, per la verifica dei requisiti di idoneità professionale; Tribunale civile territorialmente competente, per la verifica dell’assenza di stati di fallimento, liquidazione coatta amministrativa, concordato preventivo o su eventuali procedimenti in corso per la dichiarazione di tali situazioni; Ente Provincia, per la verifica dell’ottemperanza agli obblighi di cui all’art. 17 della L. 68/1999; amministrazioni certificanti, ai fini del controllo delle dichiarazioni sostitutive rese ai sensi del D.P.R. 245/2000; ecc.; </w:t>
      </w:r>
    </w:p>
    <w:p w:rsidR="00CB023D" w:rsidRDefault="00CB023D" w:rsidP="00CB023D">
      <w:pPr>
        <w:widowControl w:val="0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soggetti privati</w:t>
      </w:r>
      <w:r>
        <w:rPr>
          <w:rFonts w:ascii="Verdana" w:hAnsi="Verdana" w:cs="Calibri"/>
          <w:sz w:val="18"/>
          <w:szCs w:val="18"/>
        </w:rPr>
        <w:t xml:space="preserve"> (persone fisiche o giuridiche, come ad esempio: </w:t>
      </w:r>
      <w:proofErr w:type="spellStart"/>
      <w:r>
        <w:rPr>
          <w:rFonts w:ascii="Verdana" w:hAnsi="Verdana" w:cs="Calibri"/>
          <w:sz w:val="18"/>
          <w:szCs w:val="18"/>
        </w:rPr>
        <w:t>controinteressati</w:t>
      </w:r>
      <w:proofErr w:type="spellEnd"/>
      <w:r>
        <w:rPr>
          <w:rFonts w:ascii="Verdana" w:hAnsi="Verdana" w:cs="Calibri"/>
          <w:sz w:val="18"/>
          <w:szCs w:val="18"/>
        </w:rPr>
        <w:t xml:space="preserve"> ed utenza, ai fini della trasparenza; Istituto cassiere, per il pagamento dei corrispettivi delle forniture rese; liberi professionisti, ai fini di patrocinio in giudizio o di consulenza, compresi quelli di controparte per finalità di corrispondenza; fornitori di servizi digitali e non, di supporto all’istituzione scolastica, come software gestionali, archiviazione in </w:t>
      </w:r>
      <w:proofErr w:type="spellStart"/>
      <w:r>
        <w:rPr>
          <w:rFonts w:ascii="Verdana" w:hAnsi="Verdana" w:cs="Calibri"/>
          <w:i/>
          <w:sz w:val="18"/>
          <w:szCs w:val="18"/>
        </w:rPr>
        <w:t>cloud</w:t>
      </w:r>
      <w:proofErr w:type="spellEnd"/>
      <w:r>
        <w:rPr>
          <w:rFonts w:ascii="Verdana" w:hAnsi="Verdana" w:cs="Calibri"/>
          <w:sz w:val="18"/>
          <w:szCs w:val="18"/>
        </w:rPr>
        <w:t>; postali, nel caso di invio di comunicazioni cartacee; imprese di assicurazione).</w:t>
      </w:r>
    </w:p>
    <w:p w:rsidR="00CB023D" w:rsidRDefault="00CB023D" w:rsidP="00CB023D">
      <w:pPr>
        <w:widowControl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In caso di accoglimento di una domanda di accesso ai documenti amministrativi o di accesso civico, i dati personali trattati potranno essere comunicati al richiedente.</w:t>
      </w:r>
    </w:p>
    <w:p w:rsidR="00CB023D" w:rsidRDefault="00CB023D" w:rsidP="00CB023D">
      <w:pPr>
        <w:widowControl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lastRenderedPageBreak/>
        <w:t>I dati personali trattati verranno pubblicati nei casi previsti dalla normativa in materia di trasparenza.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7) </w:t>
      </w:r>
      <w:r>
        <w:rPr>
          <w:rFonts w:ascii="Verdana" w:hAnsi="Verdana" w:cs="Calibri"/>
          <w:b/>
          <w:sz w:val="18"/>
          <w:szCs w:val="18"/>
        </w:rPr>
        <w:tab/>
        <w:t xml:space="preserve">Trasferimento di dati personali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Il Titolare del trattamento </w:t>
      </w:r>
      <w:r>
        <w:rPr>
          <w:rFonts w:ascii="Verdana" w:hAnsi="Verdana" w:cs="Calibri"/>
          <w:b/>
          <w:sz w:val="18"/>
          <w:szCs w:val="18"/>
        </w:rPr>
        <w:t>non</w:t>
      </w:r>
      <w:r>
        <w:rPr>
          <w:rFonts w:ascii="Verdana" w:hAnsi="Verdana" w:cs="Calibri"/>
          <w:sz w:val="18"/>
          <w:szCs w:val="18"/>
        </w:rPr>
        <w:t xml:space="preserve"> intende trasferire i dati personali a Paesi terzi o organizzazioni internazionali.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8)</w:t>
      </w:r>
      <w:r>
        <w:rPr>
          <w:rFonts w:ascii="Verdana" w:hAnsi="Verdana" w:cs="Calibri"/>
          <w:b/>
          <w:sz w:val="18"/>
          <w:szCs w:val="18"/>
        </w:rPr>
        <w:tab/>
        <w:t>Periodo di conservazione dei dati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I dati personali oggetto di trattamento sono conservati per tutto il periodo necessario al </w:t>
      </w:r>
      <w:r>
        <w:rPr>
          <w:rFonts w:ascii="Verdana" w:hAnsi="Verdana" w:cs="Calibri"/>
          <w:b/>
          <w:sz w:val="18"/>
          <w:szCs w:val="18"/>
        </w:rPr>
        <w:t>raggiungimento delle finalità</w:t>
      </w:r>
      <w:r>
        <w:rPr>
          <w:rFonts w:ascii="Verdana" w:hAnsi="Verdana" w:cs="Calibri"/>
          <w:sz w:val="18"/>
          <w:szCs w:val="18"/>
        </w:rPr>
        <w:t xml:space="preserve"> ed all’espletamento delle attività amministrative ed istituzionali per le quali sono stati raccolti, non oltre i termini stabiliti dalla normativa vigente per la conservazione dei documenti amministrativi e nel rispetto delle “Linee guida per gli archivi delle Istituzioni scolastiche” elaborate dal </w:t>
      </w:r>
      <w:proofErr w:type="spellStart"/>
      <w:r>
        <w:rPr>
          <w:rFonts w:ascii="Verdana" w:hAnsi="Verdana" w:cs="Calibri"/>
          <w:sz w:val="18"/>
          <w:szCs w:val="18"/>
        </w:rPr>
        <w:t>MiBAC</w:t>
      </w:r>
      <w:proofErr w:type="spellEnd"/>
      <w:r>
        <w:rPr>
          <w:rFonts w:ascii="Verdana" w:hAnsi="Verdana" w:cs="Calibri"/>
          <w:sz w:val="18"/>
          <w:szCs w:val="18"/>
        </w:rPr>
        <w:t xml:space="preserve"> - Ministero per i Beni e le Attività Culturali, Direzione Generale per gli Archivi – Servizio II – Tutela e conservazione del Patrimonio archivistico.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9) </w:t>
      </w:r>
      <w:r>
        <w:rPr>
          <w:rFonts w:ascii="Verdana" w:hAnsi="Verdana" w:cs="Calibri"/>
          <w:b/>
          <w:sz w:val="18"/>
          <w:szCs w:val="18"/>
        </w:rPr>
        <w:tab/>
        <w:t xml:space="preserve">Modalità di trattamento 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Le operazioni di trattamento dei dati personali vengono effettuate mediante</w:t>
      </w:r>
      <w:r>
        <w:rPr>
          <w:rFonts w:ascii="Verdana" w:hAnsi="Verdana" w:cs="Calibri"/>
          <w:b/>
          <w:sz w:val="18"/>
          <w:szCs w:val="18"/>
        </w:rPr>
        <w:t xml:space="preserve"> strumenti</w:t>
      </w:r>
      <w:r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b/>
          <w:sz w:val="18"/>
          <w:szCs w:val="18"/>
        </w:rPr>
        <w:t xml:space="preserve">manuali </w:t>
      </w:r>
      <w:r>
        <w:rPr>
          <w:rFonts w:ascii="Verdana" w:hAnsi="Verdana" w:cs="Calibri"/>
          <w:sz w:val="18"/>
          <w:szCs w:val="18"/>
        </w:rPr>
        <w:t xml:space="preserve">(gestione cartacea), </w:t>
      </w:r>
      <w:r>
        <w:rPr>
          <w:rFonts w:ascii="Verdana" w:hAnsi="Verdana" w:cs="Calibri"/>
          <w:b/>
          <w:sz w:val="18"/>
          <w:szCs w:val="18"/>
        </w:rPr>
        <w:t>strumenti informatici</w:t>
      </w:r>
      <w:r>
        <w:rPr>
          <w:rFonts w:ascii="Verdana" w:hAnsi="Verdana" w:cs="Calibri"/>
          <w:sz w:val="18"/>
          <w:szCs w:val="18"/>
        </w:rPr>
        <w:t xml:space="preserve"> di </w:t>
      </w:r>
      <w:r>
        <w:rPr>
          <w:rFonts w:ascii="Verdana" w:hAnsi="Verdana" w:cs="Calibri"/>
          <w:i/>
          <w:sz w:val="18"/>
          <w:szCs w:val="18"/>
        </w:rPr>
        <w:t xml:space="preserve">office </w:t>
      </w:r>
      <w:proofErr w:type="spellStart"/>
      <w:r>
        <w:rPr>
          <w:rFonts w:ascii="Verdana" w:hAnsi="Verdana" w:cs="Calibri"/>
          <w:i/>
          <w:sz w:val="18"/>
          <w:szCs w:val="18"/>
        </w:rPr>
        <w:t>automation</w:t>
      </w:r>
      <w:proofErr w:type="spellEnd"/>
      <w:r>
        <w:rPr>
          <w:rFonts w:ascii="Verdana" w:hAnsi="Verdana" w:cs="Calibri"/>
          <w:sz w:val="18"/>
          <w:szCs w:val="18"/>
        </w:rPr>
        <w:t xml:space="preserve"> (ad esempio Word ed Excel di Microsoft Office) e </w:t>
      </w:r>
      <w:r>
        <w:rPr>
          <w:rFonts w:ascii="Verdana" w:hAnsi="Verdana" w:cs="Calibri"/>
          <w:b/>
          <w:sz w:val="18"/>
          <w:szCs w:val="18"/>
        </w:rPr>
        <w:t>strumenti telematici</w:t>
      </w:r>
      <w:r>
        <w:rPr>
          <w:rFonts w:ascii="Verdana" w:hAnsi="Verdana" w:cs="Calibri"/>
          <w:sz w:val="18"/>
          <w:szCs w:val="18"/>
        </w:rPr>
        <w:t xml:space="preserve"> (servizi ICT), con adozione di misure tecniche e organizzative adeguate per garantire la sicurezza e la riservatezza degli stessi.</w:t>
      </w: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personale interno che effettua operazioni di trattamento opera sotto la diretta autorità del Titolare e viene all’uopo autorizzato per iscritto, ricevendo le necessarie istruzioni.</w:t>
      </w: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 soggetti esterni che per conto del Titolare effettuano un trattamento o parti di esso vengono designati quali Responsabili del trattamento ai sensi dell’art. 28 del GDPR e pertanto vincolati ad adottare misure tecniche e organizzative adeguate per garantire un livello di sicurezza adeguato al rischio.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10)</w:t>
      </w:r>
      <w:r>
        <w:rPr>
          <w:rFonts w:ascii="Verdana" w:hAnsi="Verdana" w:cs="Calibri"/>
          <w:b/>
          <w:sz w:val="18"/>
          <w:szCs w:val="18"/>
        </w:rPr>
        <w:tab/>
        <w:t>Diritti dell’Interessato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426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Ai sensi dell’art. 13 par. 2, lett. b), del GDPR, l’Interessato ha diritto nei confronti del Titolare del trattamento:</w:t>
      </w:r>
    </w:p>
    <w:p w:rsidR="00CB023D" w:rsidRDefault="00CB023D" w:rsidP="00CB023D">
      <w:pPr>
        <w:widowControl w:val="0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di chiedere l’</w:t>
      </w:r>
      <w:r>
        <w:rPr>
          <w:rFonts w:ascii="Verdana" w:hAnsi="Verdana" w:cs="Calibri"/>
          <w:b/>
          <w:sz w:val="18"/>
          <w:szCs w:val="18"/>
        </w:rPr>
        <w:t>accesso</w:t>
      </w:r>
      <w:r>
        <w:rPr>
          <w:rFonts w:ascii="Verdana" w:hAnsi="Verdana" w:cs="Calibri"/>
          <w:sz w:val="18"/>
          <w:szCs w:val="18"/>
        </w:rPr>
        <w:t xml:space="preserve"> ai propri dati personali (art. 15, GDPR); </w:t>
      </w:r>
    </w:p>
    <w:p w:rsidR="00CB023D" w:rsidRDefault="00CB023D" w:rsidP="00CB023D">
      <w:pPr>
        <w:widowControl w:val="0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chiedere la </w:t>
      </w:r>
      <w:r>
        <w:rPr>
          <w:rFonts w:ascii="Verdana" w:hAnsi="Verdana" w:cs="Calibri"/>
          <w:b/>
          <w:sz w:val="18"/>
          <w:szCs w:val="18"/>
        </w:rPr>
        <w:t>rettifica</w:t>
      </w:r>
      <w:r>
        <w:rPr>
          <w:rFonts w:ascii="Verdana" w:hAnsi="Verdana" w:cs="Calibri"/>
          <w:sz w:val="18"/>
          <w:szCs w:val="18"/>
        </w:rPr>
        <w:t xml:space="preserve"> o la </w:t>
      </w:r>
      <w:r>
        <w:rPr>
          <w:rFonts w:ascii="Verdana" w:hAnsi="Verdana" w:cs="Calibri"/>
          <w:b/>
          <w:sz w:val="18"/>
          <w:szCs w:val="18"/>
        </w:rPr>
        <w:t xml:space="preserve">cancellazione </w:t>
      </w:r>
      <w:r>
        <w:rPr>
          <w:rFonts w:ascii="Verdana" w:hAnsi="Verdana" w:cs="Calibri"/>
          <w:sz w:val="18"/>
          <w:szCs w:val="18"/>
        </w:rPr>
        <w:t xml:space="preserve">degli stessi o la </w:t>
      </w:r>
      <w:r>
        <w:rPr>
          <w:rFonts w:ascii="Verdana" w:hAnsi="Verdana" w:cs="Calibri"/>
          <w:b/>
          <w:sz w:val="18"/>
          <w:szCs w:val="18"/>
        </w:rPr>
        <w:t>limitazione</w:t>
      </w:r>
      <w:r>
        <w:rPr>
          <w:rFonts w:ascii="Verdana" w:hAnsi="Verdana" w:cs="Calibri"/>
          <w:sz w:val="18"/>
          <w:szCs w:val="18"/>
        </w:rPr>
        <w:t xml:space="preserve"> del trattamento (artt. 16, 17 e 18, GDPR);</w:t>
      </w:r>
    </w:p>
    <w:p w:rsidR="00CB023D" w:rsidRDefault="00CB023D" w:rsidP="00CB023D">
      <w:pPr>
        <w:widowControl w:val="0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</w:t>
      </w:r>
      <w:r>
        <w:rPr>
          <w:rFonts w:ascii="Verdana" w:hAnsi="Verdana" w:cs="Calibri"/>
          <w:b/>
          <w:sz w:val="18"/>
          <w:szCs w:val="18"/>
        </w:rPr>
        <w:t>opporsi</w:t>
      </w:r>
      <w:r>
        <w:rPr>
          <w:rFonts w:ascii="Verdana" w:hAnsi="Verdana" w:cs="Calibri"/>
          <w:sz w:val="18"/>
          <w:szCs w:val="18"/>
        </w:rPr>
        <w:t xml:space="preserve"> al trattamento dei propri dati personali (art. 21, GDPR);</w:t>
      </w:r>
    </w:p>
    <w:p w:rsidR="00CB023D" w:rsidRDefault="00CB023D" w:rsidP="00CB023D">
      <w:pPr>
        <w:widowControl w:val="0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alla portabilità dei dati (tale diritto sussiste solo se ricorrono le condizioni previste dall’art. 20 del GDPR e non si applica se il trattamento necessario per l’esecuzione di un compito di interesse pubblico o connesso all’esercizio di pubblici poteri di cui è investito il Titolare del trattamento).</w:t>
      </w:r>
    </w:p>
    <w:p w:rsidR="00CB023D" w:rsidRDefault="00CB023D" w:rsidP="00CB023D">
      <w:pPr>
        <w:widowControl w:val="0"/>
        <w:tabs>
          <w:tab w:val="left" w:pos="567"/>
        </w:tabs>
        <w:ind w:left="75"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11)</w:t>
      </w:r>
      <w:r>
        <w:rPr>
          <w:rFonts w:ascii="Verdana" w:hAnsi="Verdana" w:cs="Calibri"/>
          <w:b/>
          <w:sz w:val="18"/>
          <w:szCs w:val="18"/>
        </w:rPr>
        <w:tab/>
        <w:t>Diritto di reclamo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Nel caso in cui ritenga che il trattamento dei propri dati personali sia effettuato in violazione di quanto previsto dal Regolamento Europeo 2016/679 (GDPR) e dalla vigente normativa in materia, l’Interessato ha altresì diritto di proporre </w:t>
      </w:r>
      <w:r>
        <w:rPr>
          <w:rFonts w:ascii="Verdana" w:hAnsi="Verdana" w:cs="Calibri"/>
          <w:b/>
          <w:sz w:val="18"/>
          <w:szCs w:val="18"/>
        </w:rPr>
        <w:t>reclamo all’autorità di controllo</w:t>
      </w:r>
      <w:r>
        <w:rPr>
          <w:rFonts w:ascii="Verdana" w:hAnsi="Verdana" w:cs="Calibri"/>
          <w:sz w:val="18"/>
          <w:szCs w:val="18"/>
        </w:rPr>
        <w:t xml:space="preserve"> (Garante per la protezione dei dati personali) ai sensi dell’art. 77 del medesimo GDPR, o di proporre </w:t>
      </w:r>
      <w:r>
        <w:rPr>
          <w:rFonts w:ascii="Verdana" w:hAnsi="Verdana" w:cs="Calibri"/>
          <w:b/>
          <w:sz w:val="18"/>
          <w:szCs w:val="18"/>
        </w:rPr>
        <w:t>ricorso giurisdizionale</w:t>
      </w:r>
      <w:r>
        <w:rPr>
          <w:rFonts w:ascii="Verdana" w:hAnsi="Verdana" w:cs="Calibri"/>
          <w:sz w:val="18"/>
          <w:szCs w:val="18"/>
        </w:rPr>
        <w:t xml:space="preserve"> ai sensi dell’art. 79.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12) </w:t>
      </w:r>
      <w:r>
        <w:rPr>
          <w:rFonts w:ascii="Verdana" w:hAnsi="Verdana" w:cs="Calibri"/>
          <w:b/>
          <w:sz w:val="18"/>
          <w:szCs w:val="18"/>
        </w:rPr>
        <w:tab/>
        <w:t>Fonti da cui hanno origine i dati personali trattati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 dati personali oggetto di trattamento sono raccolti presso l’Interessato e, se del caso, attinti da altre Amministrazioni dello Stato o da fonti accessibili al pubblico.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widowControl w:val="0"/>
        <w:tabs>
          <w:tab w:val="left" w:pos="567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13)</w:t>
      </w:r>
      <w:r>
        <w:rPr>
          <w:rFonts w:ascii="Verdana" w:hAnsi="Verdana" w:cs="Calibri"/>
          <w:b/>
          <w:sz w:val="18"/>
          <w:szCs w:val="18"/>
        </w:rPr>
        <w:tab/>
        <w:t>Processo decisionale automatizzato</w:t>
      </w:r>
    </w:p>
    <w:p w:rsidR="00CB023D" w:rsidRDefault="00CB023D" w:rsidP="00CB023D">
      <w:pPr>
        <w:widowControl w:val="0"/>
        <w:tabs>
          <w:tab w:val="left" w:pos="567"/>
        </w:tabs>
        <w:ind w:right="-1"/>
        <w:jc w:val="both"/>
        <w:rPr>
          <w:rFonts w:ascii="Verdana" w:hAnsi="Verdana" w:cs="Calibri"/>
          <w:b/>
          <w:sz w:val="10"/>
          <w:szCs w:val="10"/>
        </w:rPr>
      </w:pPr>
    </w:p>
    <w:p w:rsidR="00CB023D" w:rsidRDefault="00CB023D" w:rsidP="00CB023D">
      <w:pPr>
        <w:pStyle w:val="NormaleWeb"/>
        <w:widowControl w:val="0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Il Titolare del trattamento non adotta alcun processo decisionale automatizzato.</w:t>
      </w:r>
    </w:p>
    <w:p w:rsidR="00CB023D" w:rsidRDefault="00CB023D" w:rsidP="00CB023D">
      <w:pPr>
        <w:pStyle w:val="NormaleWeb"/>
        <w:widowControl w:val="0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</w:p>
    <w:p w:rsidR="00CB023D" w:rsidRDefault="00CB023D" w:rsidP="00CB023D">
      <w:pPr>
        <w:pStyle w:val="NormaleWeb"/>
        <w:widowControl w:val="0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</w:p>
    <w:p w:rsidR="00CB023D" w:rsidRDefault="00CB023D" w:rsidP="00CB023D">
      <w:pPr>
        <w:pStyle w:val="NormaleWeb"/>
        <w:widowControl w:val="0"/>
        <w:spacing w:before="0" w:beforeAutospacing="0" w:after="0" w:afterAutospacing="0"/>
        <w:rPr>
          <w:rFonts w:ascii="Verdana" w:hAnsi="Verdana" w:cs="Calibri"/>
          <w:sz w:val="18"/>
          <w:szCs w:val="18"/>
        </w:rPr>
      </w:pPr>
    </w:p>
    <w:p w:rsidR="00CB023D" w:rsidRDefault="00CB023D" w:rsidP="00CB023D">
      <w:pPr>
        <w:pStyle w:val="NormaleWeb"/>
        <w:widowControl w:val="0"/>
        <w:spacing w:before="0" w:beforeAutospacing="0" w:after="0" w:afterAutospacing="0"/>
        <w:jc w:val="center"/>
        <w:rPr>
          <w:rFonts w:ascii="Verdana" w:hAnsi="Verdana" w:cs="Arial"/>
          <w:b/>
          <w:bCs/>
          <w:sz w:val="44"/>
          <w:szCs w:val="52"/>
        </w:rPr>
      </w:pPr>
      <w:r>
        <w:rPr>
          <w:rFonts w:ascii="Verdana" w:hAnsi="Verdana" w:cs="Arial"/>
          <w:b/>
          <w:bCs/>
          <w:sz w:val="44"/>
          <w:szCs w:val="52"/>
        </w:rPr>
        <w:lastRenderedPageBreak/>
        <w:t>Dichiarazione del fornitore</w:t>
      </w: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40" w:lineRule="exact"/>
        <w:rPr>
          <w:rFonts w:ascii="Verdana" w:hAnsi="Verdana" w:cs="Arial"/>
          <w:sz w:val="20"/>
          <w:szCs w:val="20"/>
        </w:rPr>
      </w:pP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sottoscritto fornitore ____________________________________ nato il ___/___/_____ e residente in ________________________________ alla Via _______________________________________, _____, dichiara di </w:t>
      </w:r>
      <w:r>
        <w:rPr>
          <w:rFonts w:ascii="Verdana" w:hAnsi="Verdana" w:cs="Arial"/>
          <w:b/>
          <w:sz w:val="20"/>
          <w:szCs w:val="20"/>
        </w:rPr>
        <w:t>aver ricevuto, letto e compreso</w:t>
      </w:r>
      <w:r>
        <w:rPr>
          <w:rFonts w:ascii="Verdana" w:hAnsi="Verdana" w:cs="Arial"/>
          <w:sz w:val="20"/>
          <w:szCs w:val="20"/>
        </w:rPr>
        <w:t xml:space="preserve"> la sopra estesa “Informativa sul trattamento dei dati personali ai sensi degli artt. 13 e 14 </w:t>
      </w:r>
      <w:r>
        <w:rPr>
          <w:rFonts w:ascii="Verdana" w:hAnsi="Verdana" w:cs="Calibri"/>
          <w:sz w:val="20"/>
          <w:szCs w:val="20"/>
        </w:rPr>
        <w:t>del Regolamento Europeo 2016/679 (GDPR)”</w:t>
      </w:r>
      <w:r>
        <w:rPr>
          <w:rFonts w:ascii="Verdana" w:hAnsi="Verdana" w:cs="Arial"/>
          <w:sz w:val="20"/>
          <w:szCs w:val="20"/>
        </w:rPr>
        <w:t>.</w:t>
      </w: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 w:cs="Arial"/>
          <w:sz w:val="20"/>
          <w:szCs w:val="20"/>
        </w:rPr>
      </w:pP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Data_______________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</w:t>
      </w: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firma digitale</w:t>
      </w:r>
    </w:p>
    <w:p w:rsidR="00CB023D" w:rsidRP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CB023D">
        <w:rPr>
          <w:rFonts w:ascii="Verdana" w:hAnsi="Verdana" w:cs="Arial"/>
          <w:sz w:val="16"/>
          <w:szCs w:val="16"/>
        </w:rPr>
        <w:t xml:space="preserve">firma digitale ai sensi degli artt. 21 e 24 D. </w:t>
      </w:r>
      <w:proofErr w:type="spellStart"/>
      <w:r w:rsidRPr="00CB023D">
        <w:rPr>
          <w:rFonts w:ascii="Verdana" w:hAnsi="Verdana" w:cs="Arial"/>
          <w:sz w:val="16"/>
          <w:szCs w:val="16"/>
        </w:rPr>
        <w:t>Lgs</w:t>
      </w:r>
      <w:proofErr w:type="spellEnd"/>
      <w:r w:rsidRPr="00CB023D">
        <w:rPr>
          <w:rFonts w:ascii="Verdana" w:hAnsi="Verdana" w:cs="Arial"/>
          <w:sz w:val="16"/>
          <w:szCs w:val="16"/>
        </w:rPr>
        <w:t>. n.82/2005</w:t>
      </w:r>
      <w:r>
        <w:rPr>
          <w:rFonts w:ascii="Verdana" w:hAnsi="Verdana" w:cs="Arial"/>
          <w:sz w:val="16"/>
          <w:szCs w:val="16"/>
        </w:rPr>
        <w:t>)</w:t>
      </w:r>
    </w:p>
    <w:p w:rsidR="00CB023D" w:rsidRDefault="00CB023D" w:rsidP="00CB023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 w:cs="Arial"/>
          <w:sz w:val="20"/>
          <w:szCs w:val="20"/>
        </w:rPr>
      </w:pPr>
    </w:p>
    <w:p w:rsidR="00CB023D" w:rsidRDefault="00CB023D" w:rsidP="00CB023D">
      <w:pPr>
        <w:spacing w:line="300" w:lineRule="auto"/>
        <w:rPr>
          <w:rFonts w:ascii="Calibri" w:eastAsia="Calibri" w:hAnsi="Calibri"/>
          <w:sz w:val="22"/>
        </w:rPr>
      </w:pPr>
    </w:p>
    <w:p w:rsidR="00CB023D" w:rsidRDefault="00CB023D" w:rsidP="00CB023D"/>
    <w:p w:rsidR="00CB023D" w:rsidRDefault="00CB023D" w:rsidP="00CB023D"/>
    <w:sectPr w:rsidR="00CB023D" w:rsidSect="00F45A5C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8F" w:rsidRDefault="00B72A8F" w:rsidP="006E1DA0">
      <w:r>
        <w:separator/>
      </w:r>
    </w:p>
  </w:endnote>
  <w:endnote w:type="continuationSeparator" w:id="0">
    <w:p w:rsidR="00B72A8F" w:rsidRDefault="00B72A8F" w:rsidP="006E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782"/>
      <w:docPartObj>
        <w:docPartGallery w:val="Page Numbers (Bottom of Page)"/>
        <w:docPartUnique/>
      </w:docPartObj>
    </w:sdtPr>
    <w:sdtContent>
      <w:p w:rsidR="00117BE7" w:rsidRDefault="00A65502">
        <w:pPr>
          <w:pStyle w:val="Pidipagina"/>
          <w:jc w:val="center"/>
        </w:pPr>
        <w:fldSimple w:instr=" PAGE   \* MERGEFORMAT ">
          <w:r w:rsidR="00CB023D">
            <w:rPr>
              <w:noProof/>
            </w:rPr>
            <w:t>4</w:t>
          </w:r>
        </w:fldSimple>
      </w:p>
    </w:sdtContent>
  </w:sdt>
  <w:p w:rsidR="00117BE7" w:rsidRDefault="00117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8F" w:rsidRDefault="00B72A8F" w:rsidP="006E1DA0">
      <w:r>
        <w:separator/>
      </w:r>
    </w:p>
  </w:footnote>
  <w:footnote w:type="continuationSeparator" w:id="0">
    <w:p w:rsidR="00B72A8F" w:rsidRDefault="00B72A8F" w:rsidP="006E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  <w:lang w:eastAsia="it-IT"/>
      </w:rPr>
      <w:drawing>
        <wp:inline distT="0" distB="0" distL="0" distR="0">
          <wp:extent cx="1420586" cy="569840"/>
          <wp:effectExtent l="0" t="0" r="1905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20" cy="58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>
          <wp:extent cx="1514838" cy="71454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623_LogoConfinanziatoUE_425x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80" cy="73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</w:t>
    </w:r>
    <w:r>
      <w:rPr>
        <w:noProof/>
        <w:lang w:eastAsia="it-IT"/>
      </w:rPr>
      <w:drawing>
        <wp:inline distT="0" distB="0" distL="0" distR="0">
          <wp:extent cx="1874904" cy="519339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264" cy="57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BE7" w:rsidRDefault="00A65502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</w:rPr>
      <w:pict>
        <v:rect id="Rettangolo 5" o:spid="_x0000_s1026" style="position:absolute;margin-left:361.15pt;margin-top:14.4pt;width:23.8pt;height:48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u2kgIAAIQFAAAOAAAAZHJzL2Uyb0RvYy54bWysVEtv2zAMvg/YfxB0X/1o025BnSJo0WFA&#10;0QZth54VWYoNyKImKXGyXz9Ksp2uK3YYloMimh8/PkTy8mrfKbIT1rWgK1qc5JQIzaFu9aai359v&#10;P32mxHmma6ZAi4oehKNXi48fLnszFyU0oGphCZJoN+9NRRvvzTzLHG9Ex9wJGKFRKcF2zKNoN1lt&#10;WY/sncrKPD/PerC1scCFc/j1JinpIvJLKbh/kNIJT1RFMTYfTxvPdTizxSWbbywzTcuHMNg/RNGx&#10;VqPTieqGeUa2tv2Dqmu5BQfSn3DoMpCy5SLmgNkU+ZtsnhpmRMwFi+PMVCb3/2j5/W5lSVtXdEaJ&#10;Zh0+0aPw+GAbUEBmoT69cXOEPZmVHSSH15DsXtou/GMaZB9rephqKvaecPx4mpf5BTYBR9V5UZ6W&#10;ZeDMjsbGOv9VQEfCpaIWnyxWku3unE/QERJ8OVBtfdsqFYXQJuJaWbJj+MDrTTGQ/4ZSOmA1BKtE&#10;GL5kIa+USbz5gxIBp/SjkFgRjL2MgcRePDphnAvti6RqWC2S71mOv9H7GFZMNBIGZon+J+6BYEQm&#10;kpE7RTngg6mIrTwZ538LLBlPFtEzaD8Zd60G+x6BwqwGzwk/FimVJlRpDfUB+8VCGiRn+G2Lz3bH&#10;nF8xi5ODM4bbwD/gIRX0FYXhRkkD9ud73wMeGxq1lPQ4iRV1P7bMCkrUN42t/qU4OwujG4Wz2UWJ&#10;gn2tWb/W6G13DdgLBe4dw+M14L0ar9JC94JLYxm8ooppjr4ryr0dhWufNgSuHS6WywjDcTXM3+kn&#10;wwN5qGpoy+f9C7Nm6F2PTX8P49Sy+ZsWTthgqWG59SDb2N/Hug71xlGPjTOspbBLXssRdVyei18A&#10;AAD//wMAUEsDBBQABgAIAAAAIQCKHoal5gAAAA8BAAAPAAAAZHJzL2Rvd25yZXYueG1sTI9LT8Mw&#10;EITvSPwHa5G4IOpgiz7SOBUPIXHpgVIhjm68JFZjO4rdJOXXs5zgstJqv5mdKTaTa9mAfbTBK7ib&#10;ZcDQV8FYXyvYv7/cLoHFpL3RbfCo4IwRNuXlRaFzE0b/hsMu1YxMfMy1gialLuc8Vg06HWehQ0+3&#10;r9A7nWjta256PZK5a7nIsjl32nr60OgOnxqsjruTU7A9S/k63MjjuLeytt/88/GjCUpdX03PaxoP&#10;a2AJp/SngN8OlB9KCnYIJ28iaxUshJCEKhBL6kHAYr5aATsQKe4F8LLg/3uUPwAAAP//AwBQSwEC&#10;LQAUAAYACAAAACEAtoM4kv4AAADhAQAAEwAAAAAAAAAAAAAAAAAAAAAAW0NvbnRlbnRfVHlwZXNd&#10;LnhtbFBLAQItABQABgAIAAAAIQA4/SH/1gAAAJQBAAALAAAAAAAAAAAAAAAAAC8BAABfcmVscy8u&#10;cmVsc1BLAQItABQABgAIAAAAIQCiP8u2kgIAAIQFAAAOAAAAAAAAAAAAAAAAAC4CAABkcnMvZTJv&#10;RG9jLnhtbFBLAQItABQABgAIAAAAIQCKHoal5gAAAA8BAAAPAAAAAAAAAAAAAAAAAOwEAABkcnMv&#10;ZG93bnJldi54bWxQSwUGAAAAAAQABADzAAAA/wUAAAAAQUFBQUFBQUFBQUFBQUFBQU93RUFBQmt=&#10;" fillcolor="white [3212]" stroked="f" strokeweight="1pt"/>
      </w:pict>
    </w:r>
  </w:p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  <w:jc w:val="center"/>
    </w:pPr>
    <w:r>
      <w:rPr>
        <w:noProof/>
        <w:lang w:eastAsia="it-IT"/>
      </w:rPr>
      <w:drawing>
        <wp:inline distT="0" distB="0" distL="0" distR="0">
          <wp:extent cx="3502478" cy="988060"/>
          <wp:effectExtent l="0" t="0" r="317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30002"/>
                  <a:stretch/>
                </pic:blipFill>
                <pic:spPr bwMode="auto">
                  <a:xfrm>
                    <a:off x="0" y="0"/>
                    <a:ext cx="3599046" cy="1015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85"/>
    <w:multiLevelType w:val="multilevel"/>
    <w:tmpl w:val="966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7071"/>
    <w:multiLevelType w:val="hybridMultilevel"/>
    <w:tmpl w:val="AD36A01C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7697"/>
    <w:multiLevelType w:val="hybridMultilevel"/>
    <w:tmpl w:val="A2CCE7F4"/>
    <w:lvl w:ilvl="0" w:tplc="2F286B8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3581"/>
    <w:multiLevelType w:val="hybridMultilevel"/>
    <w:tmpl w:val="5E263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23244"/>
    <w:multiLevelType w:val="hybridMultilevel"/>
    <w:tmpl w:val="F1284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4843AD"/>
    <w:multiLevelType w:val="multilevel"/>
    <w:tmpl w:val="19C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326D2"/>
    <w:multiLevelType w:val="hybridMultilevel"/>
    <w:tmpl w:val="EBE8E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4F1B7F"/>
    <w:multiLevelType w:val="hybridMultilevel"/>
    <w:tmpl w:val="04B88924"/>
    <w:lvl w:ilvl="0" w:tplc="9BE050FA">
      <w:start w:val="1"/>
      <w:numFmt w:val="decimal"/>
      <w:lvlText w:val="%1."/>
      <w:lvlJc w:val="left"/>
      <w:pPr>
        <w:ind w:left="7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1261356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4558AE56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AF8AB16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6C321594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2EFAA134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DBBC4746">
      <w:numFmt w:val="bullet"/>
      <w:lvlText w:val="•"/>
      <w:lvlJc w:val="left"/>
      <w:pPr>
        <w:ind w:left="6589" w:hanging="360"/>
      </w:pPr>
      <w:rPr>
        <w:rFonts w:hint="default"/>
        <w:lang w:val="it-IT" w:eastAsia="en-US" w:bidi="ar-SA"/>
      </w:rPr>
    </w:lvl>
    <w:lvl w:ilvl="7" w:tplc="987AFA9C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DF8EF9CA">
      <w:numFmt w:val="bullet"/>
      <w:lvlText w:val="•"/>
      <w:lvlJc w:val="left"/>
      <w:pPr>
        <w:ind w:left="8539" w:hanging="360"/>
      </w:pPr>
      <w:rPr>
        <w:rFonts w:hint="default"/>
        <w:lang w:val="it-IT" w:eastAsia="en-US" w:bidi="ar-SA"/>
      </w:rPr>
    </w:lvl>
  </w:abstractNum>
  <w:abstractNum w:abstractNumId="14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1DA0"/>
    <w:rsid w:val="00015D97"/>
    <w:rsid w:val="00021F8F"/>
    <w:rsid w:val="00047371"/>
    <w:rsid w:val="000A3C8E"/>
    <w:rsid w:val="000C555B"/>
    <w:rsid w:val="000C6E81"/>
    <w:rsid w:val="000E268C"/>
    <w:rsid w:val="000E6997"/>
    <w:rsid w:val="00105454"/>
    <w:rsid w:val="00117BE7"/>
    <w:rsid w:val="00122627"/>
    <w:rsid w:val="001341F2"/>
    <w:rsid w:val="00157B8A"/>
    <w:rsid w:val="00194977"/>
    <w:rsid w:val="001D116F"/>
    <w:rsid w:val="001E1C20"/>
    <w:rsid w:val="001F589F"/>
    <w:rsid w:val="001F78CC"/>
    <w:rsid w:val="00283329"/>
    <w:rsid w:val="002A10B1"/>
    <w:rsid w:val="002A1DD3"/>
    <w:rsid w:val="003062B7"/>
    <w:rsid w:val="00380780"/>
    <w:rsid w:val="0038602E"/>
    <w:rsid w:val="00387503"/>
    <w:rsid w:val="0039465D"/>
    <w:rsid w:val="003F2660"/>
    <w:rsid w:val="00421E51"/>
    <w:rsid w:val="00422835"/>
    <w:rsid w:val="00426F98"/>
    <w:rsid w:val="004A7E91"/>
    <w:rsid w:val="004B5BB7"/>
    <w:rsid w:val="004E6AE2"/>
    <w:rsid w:val="00514A61"/>
    <w:rsid w:val="00570877"/>
    <w:rsid w:val="005871B7"/>
    <w:rsid w:val="005C6FD2"/>
    <w:rsid w:val="005D1242"/>
    <w:rsid w:val="005E139D"/>
    <w:rsid w:val="00603BD7"/>
    <w:rsid w:val="0069531A"/>
    <w:rsid w:val="006B43C4"/>
    <w:rsid w:val="006C7724"/>
    <w:rsid w:val="006E1DA0"/>
    <w:rsid w:val="006E32A5"/>
    <w:rsid w:val="00711103"/>
    <w:rsid w:val="00734292"/>
    <w:rsid w:val="007446B8"/>
    <w:rsid w:val="007542DE"/>
    <w:rsid w:val="00774098"/>
    <w:rsid w:val="00783005"/>
    <w:rsid w:val="007978C8"/>
    <w:rsid w:val="007A2038"/>
    <w:rsid w:val="007E196B"/>
    <w:rsid w:val="00804220"/>
    <w:rsid w:val="00807C9B"/>
    <w:rsid w:val="0085430E"/>
    <w:rsid w:val="008B2375"/>
    <w:rsid w:val="008C39DB"/>
    <w:rsid w:val="008D102D"/>
    <w:rsid w:val="008D685F"/>
    <w:rsid w:val="008E1916"/>
    <w:rsid w:val="008E2B9E"/>
    <w:rsid w:val="00900BAC"/>
    <w:rsid w:val="00926432"/>
    <w:rsid w:val="00936D19"/>
    <w:rsid w:val="00944194"/>
    <w:rsid w:val="00966FD6"/>
    <w:rsid w:val="009754FA"/>
    <w:rsid w:val="00985CE0"/>
    <w:rsid w:val="00997868"/>
    <w:rsid w:val="009A3DE5"/>
    <w:rsid w:val="009A5E0F"/>
    <w:rsid w:val="009E7DF1"/>
    <w:rsid w:val="00A579A9"/>
    <w:rsid w:val="00A65502"/>
    <w:rsid w:val="00A93D6D"/>
    <w:rsid w:val="00A96375"/>
    <w:rsid w:val="00AA7426"/>
    <w:rsid w:val="00AB6268"/>
    <w:rsid w:val="00AC0F1B"/>
    <w:rsid w:val="00AC2375"/>
    <w:rsid w:val="00AD4670"/>
    <w:rsid w:val="00AF0ADB"/>
    <w:rsid w:val="00B13251"/>
    <w:rsid w:val="00B46CFA"/>
    <w:rsid w:val="00B61C25"/>
    <w:rsid w:val="00B72A8F"/>
    <w:rsid w:val="00B90266"/>
    <w:rsid w:val="00BA3CA9"/>
    <w:rsid w:val="00BC104D"/>
    <w:rsid w:val="00C03C2A"/>
    <w:rsid w:val="00C1733A"/>
    <w:rsid w:val="00C32E10"/>
    <w:rsid w:val="00C83126"/>
    <w:rsid w:val="00C96C4D"/>
    <w:rsid w:val="00CA09D2"/>
    <w:rsid w:val="00CB023D"/>
    <w:rsid w:val="00D220AF"/>
    <w:rsid w:val="00D33BCB"/>
    <w:rsid w:val="00D50FC1"/>
    <w:rsid w:val="00D522D8"/>
    <w:rsid w:val="00D90B95"/>
    <w:rsid w:val="00D96E32"/>
    <w:rsid w:val="00DC0929"/>
    <w:rsid w:val="00DE654C"/>
    <w:rsid w:val="00DE7374"/>
    <w:rsid w:val="00E30BCB"/>
    <w:rsid w:val="00E42BD6"/>
    <w:rsid w:val="00E44A25"/>
    <w:rsid w:val="00E46EA9"/>
    <w:rsid w:val="00E64D97"/>
    <w:rsid w:val="00E82F7F"/>
    <w:rsid w:val="00E830C6"/>
    <w:rsid w:val="00E83C5A"/>
    <w:rsid w:val="00EB4D60"/>
    <w:rsid w:val="00EC02C2"/>
    <w:rsid w:val="00ED0A25"/>
    <w:rsid w:val="00F14D7D"/>
    <w:rsid w:val="00F42412"/>
    <w:rsid w:val="00F45A5C"/>
    <w:rsid w:val="00F54291"/>
    <w:rsid w:val="00F7559D"/>
    <w:rsid w:val="00F84E6F"/>
    <w:rsid w:val="00F870D8"/>
    <w:rsid w:val="00F90257"/>
    <w:rsid w:val="00FD7399"/>
    <w:rsid w:val="00F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329"/>
  </w:style>
  <w:style w:type="paragraph" w:styleId="Titolo1">
    <w:name w:val="heading 1"/>
    <w:basedOn w:val="Normale"/>
    <w:link w:val="Titolo1Carattere"/>
    <w:uiPriority w:val="9"/>
    <w:qFormat/>
    <w:rsid w:val="00AC2375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DA0"/>
  </w:style>
  <w:style w:type="paragraph" w:styleId="Pidipagina">
    <w:name w:val="footer"/>
    <w:basedOn w:val="Normale"/>
    <w:link w:val="Pidipagina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D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8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78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780"/>
  </w:style>
  <w:style w:type="paragraph" w:customStyle="1" w:styleId="Default">
    <w:name w:val="Default"/>
    <w:rsid w:val="00380780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57B8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57B8A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57B8A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157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157B8A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57B8A"/>
    <w:rPr>
      <w:b/>
      <w:bCs/>
    </w:rPr>
  </w:style>
  <w:style w:type="paragraph" w:styleId="NormaleWeb">
    <w:name w:val="Normal (Web)"/>
    <w:basedOn w:val="Normale"/>
    <w:unhideWhenUsed/>
    <w:rsid w:val="00157B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5D1242"/>
    <w:rPr>
      <w:rFonts w:ascii="Calibri" w:eastAsia="Times New Roman" w:hAnsi="Calibri" w:cs="Calibri"/>
      <w:b/>
      <w:bCs/>
      <w:sz w:val="22"/>
      <w:szCs w:val="22"/>
      <w:lang w:eastAsia="it-IT"/>
    </w:rPr>
  </w:style>
  <w:style w:type="paragraph" w:customStyle="1" w:styleId="Articolo">
    <w:name w:val="Articolo"/>
    <w:basedOn w:val="Normale"/>
    <w:link w:val="ArticoloCarattere"/>
    <w:qFormat/>
    <w:rsid w:val="005D1242"/>
    <w:pPr>
      <w:spacing w:after="120"/>
      <w:contextualSpacing/>
      <w:jc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7C9B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7E196B"/>
    <w:pPr>
      <w:widowControl w:val="0"/>
      <w:autoSpaceDE w:val="0"/>
      <w:autoSpaceDN w:val="0"/>
      <w:jc w:val="center"/>
      <w:outlineLvl w:val="1"/>
    </w:pPr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2375"/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8000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gtd08000a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1E7D9-D759-4634-8E28-26EFC3C0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segretario</cp:lastModifiedBy>
  <cp:revision>104</cp:revision>
  <cp:lastPrinted>2026-02-02T09:49:00Z</cp:lastPrinted>
  <dcterms:created xsi:type="dcterms:W3CDTF">2024-08-30T09:27:00Z</dcterms:created>
  <dcterms:modified xsi:type="dcterms:W3CDTF">2026-02-02T12:26:00Z</dcterms:modified>
</cp:coreProperties>
</file>